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32 – Track ROI from Automation and Self-Service</w:t>
      </w:r>
    </w:p>
    <w:p>
      <w:r>
        <w:t>☐ Identify which workflows and service catalog items are eligible for ROI tracking.</w:t>
      </w:r>
    </w:p>
    <w:p>
      <w:r>
        <w:t>☐ Estimate average time saved per automation or deflection.</w:t>
      </w:r>
    </w:p>
    <w:p>
      <w:r>
        <w:t>☐ Multiply by monthly usage to calculate total hours saved.</w:t>
      </w:r>
    </w:p>
    <w:p>
      <w:r>
        <w:t>☐ Use Analytics to track metrics like: deflected tickets, SLA impact, automated approvals.</w:t>
      </w:r>
    </w:p>
    <w:p>
      <w:r>
        <w:t>☐ Present results in line, bar, or YoY comparison charts.</w:t>
      </w:r>
    </w:p>
    <w:p>
      <w:r>
        <w:t>☐ Document assumptions and review quarterly for accuracy.</w:t>
      </w:r>
    </w:p>
    <w:p>
      <w:r>
        <w:t>☐ Share ROI metrics with stakeholders to justify continued investment.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